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项目名称：江苏财会职业学院教学机房互联网教学专线采购</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highlight w:val="none"/>
        </w:rPr>
        <w:t xml:space="preserve">JSZC-320700-JZCG-G2026-0084</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7"/>
        <w:rPr>
          <w:sz w:val="28"/>
        </w:rPr>
      </w:pPr>
      <w:r>
        <w:rPr>
          <w:sz w:val="28"/>
        </w:rPr>
      </w:r>
      <w:r/>
    </w:p>
    <w:p>
      <w:pPr>
        <w:pStyle w:val="857"/>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7"/>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7"/>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7"/>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7"/>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7"/>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5"/>
        <w:jc w:val="center"/>
        <w:spacing w:line="360" w:lineRule="auto"/>
        <w:rPr>
          <w:rFonts w:ascii="黑体" w:hAnsi="黑体" w:eastAsia="黑体"/>
          <w:b w:val="0"/>
        </w:rPr>
      </w:pPr>
      <w:r/>
      <w:bookmarkStart w:id="0" w:name="_Toc162361610"/>
      <w:r/>
      <w:bookmarkStart w:id="24" w:name="_GoBack"/>
      <w:r/>
      <w:bookmarkEnd w:id="24"/>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受江苏财会职业学院的委托，连云港市公共资源交易中心就江苏财会职业学院教学机房互联网教学专线采购（JSZC-320700-JZCG-G2026-0084）项目进行公开招标采购，欢迎符合条件的供应商投标。</w:t>
      </w:r>
      <w:r/>
    </w:p>
    <w:tbl>
      <w:tblPr>
        <w:tblStyle w:val="859"/>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u w:val="single"/>
              </w:rPr>
              <w:t xml:space="preserve">江苏财会职业学院教学机房互联网教学专线采购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yellow"/>
                <w:u w:val="single"/>
              </w:rPr>
              <w:t xml:space="preserve">202</w:t>
            </w:r>
            <w:r>
              <w:rPr>
                <w:rFonts w:hint="eastAsia" w:asciiTheme="minorEastAsia" w:hAnsiTheme="minorEastAsia"/>
                <w:b/>
                <w:sz w:val="24"/>
                <w:szCs w:val="24"/>
                <w:highlight w:val="yellow"/>
                <w:u w:val="single"/>
                <w:lang w:val="en-US" w:eastAsia="zh-CN"/>
              </w:rPr>
              <w:t xml:space="preserve">6</w:t>
            </w:r>
            <w:r>
              <w:rPr>
                <w:rFonts w:hint="eastAsia" w:asciiTheme="minorEastAsia" w:hAnsiTheme="minorEastAsia"/>
                <w:b/>
                <w:sz w:val="24"/>
                <w:szCs w:val="24"/>
                <w:highlight w:val="yellow"/>
                <w:u w:val="single"/>
              </w:rPr>
              <w:t xml:space="preserve">年9月7日15:00:00</w:t>
            </w:r>
            <w:r>
              <w:rPr>
                <w:rFonts w:hint="eastAsia" w:asciiTheme="minorEastAsia" w:hAnsiTheme="minorEastAsia"/>
                <w:sz w:val="24"/>
                <w:szCs w:val="24"/>
              </w:rPr>
              <w:t xml:space="preserve">（北京时间）前递交（上传）投标文件。</w:t>
            </w:r>
            <w:r/>
          </w:p>
        </w:tc>
      </w:tr>
    </w:tbl>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JSZC-320700-JZCG-G2026-0084</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sz w:val="24"/>
          <w:szCs w:val="24"/>
        </w:rPr>
        <w:t xml:space="preserve">江苏财会职业学院教学机房互联网教学专线采购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人民币64.8万元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rPr>
          <w:rFonts w:hint="eastAsia"/>
          <w:sz w:val="24"/>
          <w:szCs w:val="24"/>
        </w:rPr>
        <w:t xml:space="preserve">江苏财会职业学院教学机房互联网专线服务将于2026年8月31日到期，我校教学机房共有约2000台电脑终端。我校将采购1G互联网专线和正版软件服务以满足400教师在教学机房的教学服务，服务期3年。</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合同履行期限：</w:t>
      </w:r>
      <w:r>
        <w:rPr>
          <w:rFonts w:hint="eastAsia" w:asciiTheme="minorEastAsia" w:hAnsiTheme="minorEastAsia"/>
          <w:sz w:val="24"/>
          <w:szCs w:val="24"/>
          <w:highlight w:val="none"/>
        </w:rPr>
        <w:t xml:space="preserve">3年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（三）本项目的特定资格要求：</w:t>
      </w:r>
      <w:r/>
    </w:p>
    <w:p>
      <w:pPr>
        <w:ind w:firstLine="482"/>
        <w:jc w:val="left"/>
        <w:spacing w:line="500" w:lineRule="exact"/>
        <w:rPr>
          <w:rFonts w:hint="eastAsia"/>
          <w:b/>
          <w:bCs/>
          <w:sz w:val="24"/>
          <w:szCs w:val="24"/>
        </w:rPr>
      </w:pPr>
      <w:r>
        <w:rPr>
          <w:rFonts w:hint="eastAsia"/>
          <w:b/>
          <w:bCs/>
          <w:sz w:val="24"/>
          <w:szCs w:val="24"/>
          <w:lang w:val="en-US" w:eastAsia="zh-CN"/>
        </w:rPr>
        <w:t xml:space="preserve">1.</w:t>
      </w:r>
      <w:r>
        <w:rPr>
          <w:rFonts w:hint="eastAsia"/>
          <w:b/>
          <w:bCs/>
          <w:sz w:val="24"/>
          <w:szCs w:val="24"/>
        </w:rPr>
        <w:t xml:space="preserve">投标人须具有《中华人民共和国基础电信业务经营许可证》。（投标文件中提供有效证书扫描件并加盖投标人公章，否则投标无效）</w:t>
      </w:r>
      <w:r/>
    </w:p>
    <w:p>
      <w:pPr>
        <w:ind w:firstLine="482"/>
        <w:jc w:val="left"/>
        <w:spacing w:line="500" w:lineRule="exact"/>
        <w:rPr>
          <w:rFonts w:hint="eastAsia"/>
          <w:b/>
          <w:bCs/>
          <w:sz w:val="24"/>
          <w:szCs w:val="24"/>
        </w:rPr>
      </w:pPr>
      <w:r>
        <w:rPr>
          <w:rFonts w:hint="eastAsia"/>
          <w:b/>
          <w:bCs/>
          <w:sz w:val="24"/>
          <w:szCs w:val="24"/>
        </w:rPr>
        <w:t xml:space="preserve">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r/>
    </w:p>
    <w:p>
      <w:pPr>
        <w:ind w:firstLine="482"/>
        <w:jc w:val="left"/>
        <w:spacing w:line="500" w:lineRule="exact"/>
        <w:rPr>
          <w:sz w:val="24"/>
          <w:szCs w:val="24"/>
        </w:rPr>
      </w:pPr>
      <w:r>
        <w:rPr>
          <w:rFonts w:hint="eastAsia"/>
          <w:b/>
          <w:bCs/>
          <w:sz w:val="24"/>
          <w:szCs w:val="24"/>
        </w:rPr>
        <w:t xml:space="preserve">3.单位负责人为同一人或者存在直接控股、管理关系的不同供应商，不得参加同一合同项下的政府采购活动。</w:t>
      </w:r>
      <w:r/>
    </w:p>
    <w:p>
      <w:pPr>
        <w:pStyle w:val="84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highlight w:val="none"/>
        </w:rPr>
        <w:t xml:space="preserve">时间：自招标公告发布之日起</w:t>
      </w:r>
      <w:r>
        <w:rPr>
          <w:rFonts w:hint="eastAsia" w:asciiTheme="minorEastAsia" w:hAnsiTheme="minorEastAsia"/>
          <w:sz w:val="24"/>
          <w:szCs w:val="24"/>
          <w:highlight w:val="none"/>
          <w:lang w:val="en-US" w:eastAsia="zh-CN"/>
        </w:rPr>
        <w:t xml:space="preserve">五个工作</w:t>
      </w:r>
      <w:r>
        <w:rPr>
          <w:rFonts w:hint="eastAsia" w:asciiTheme="minorEastAsia" w:hAnsiTheme="minorEastAsia"/>
          <w:sz w:val="24"/>
          <w:szCs w:val="24"/>
          <w:highlight w:val="none"/>
        </w:rPr>
        <w:t xml:space="preserve">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yellow"/>
        </w:rPr>
        <w:t xml:space="preserve">提交投标文件截止时间：2026年9月7日15:00:00（北京时间）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yellow"/>
        </w:rPr>
        <w:t xml:space="preserve">开标时间：2026年9月7日15:00:00（北京时间）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称：江苏财会职业学院</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址：江苏省连云港市海州区春晖路8号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联系方式：陈士俊   0518-85899692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王一峰</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none"/>
        </w:rPr>
        <w:t xml:space="preserve">电      话：0518-82256587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5"/>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4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yellow"/>
        </w:rPr>
        <w:t xml:space="preserve">第</w:t>
      </w:r>
      <w:r>
        <w:rPr>
          <w:rFonts w:hint="eastAsia"/>
          <w:sz w:val="24"/>
          <w:szCs w:val="24"/>
          <w:highlight w:val="yellow"/>
          <w:u w:val="single"/>
        </w:rPr>
        <w:t xml:space="preserve">（1）</w:t>
      </w:r>
      <w:r>
        <w:rPr>
          <w:rFonts w:hint="eastAsia"/>
          <w:sz w:val="24"/>
          <w:szCs w:val="24"/>
          <w:highlight w:val="yellow"/>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信息传输业</w:t>
      </w:r>
      <w:r>
        <w:rPr>
          <w:rFonts w:hint="eastAsia"/>
          <w:b/>
          <w:sz w:val="24"/>
          <w:szCs w:val="24"/>
        </w:rPr>
        <w:t xml:space="preserve">。</w:t>
      </w:r>
      <w:r/>
    </w:p>
    <w:p>
      <w:pPr>
        <w:ind w:firstLine="480"/>
        <w:jc w:val="left"/>
        <w:spacing w:line="360" w:lineRule="auto"/>
        <w:rPr>
          <w:rFonts w:ascii="宋体" w:hAnsi="宋体"/>
          <w:color w:val="000000"/>
          <w:sz w:val="24"/>
          <w:szCs w:val="24"/>
          <w:u w:val="single"/>
        </w:rPr>
      </w:pPr>
      <w:r>
        <w:rPr>
          <w:rFonts w:hint="eastAsia" w:ascii="宋体" w:hAnsi="宋体"/>
          <w:color w:val="000000"/>
          <w:sz w:val="24"/>
          <w:szCs w:val="24"/>
          <w:u w:val="none"/>
        </w:rPr>
        <w:t xml:space="preserve">根据《关于印发中小企业划型标准规定的通知》（工信部联企业〔2011〕300号）规定，</w:t>
      </w:r>
      <w:r>
        <w:rPr>
          <w:rFonts w:hint="eastAsia" w:ascii="宋体" w:hAnsi="宋体"/>
          <w:color w:val="000000"/>
          <w:sz w:val="24"/>
          <w:szCs w:val="24"/>
        </w:rPr>
        <w:t xml:space="preserve">划型标准</w:t>
      </w:r>
      <w:r>
        <w:rPr>
          <w:rFonts w:hint="eastAsia" w:ascii="宋体" w:hAnsi="宋体"/>
          <w:color w:val="000000"/>
          <w:sz w:val="24"/>
          <w:szCs w:val="24"/>
          <w:lang w:val="en-US" w:eastAsia="zh-CN"/>
        </w:rPr>
        <w:t xml:space="preserve">如下</w:t>
      </w:r>
      <w:r>
        <w:rPr>
          <w:rFonts w:hint="eastAsia" w:ascii="宋体" w:hAnsi="宋体"/>
          <w:color w:val="000000"/>
          <w:sz w:val="24"/>
          <w:szCs w:val="24"/>
        </w:rPr>
        <w:t xml:space="preserve">：</w:t>
      </w:r>
      <w:r/>
    </w:p>
    <w:p>
      <w:pPr>
        <w:ind w:firstLine="480"/>
        <w:jc w:val="left"/>
        <w:spacing w:line="500" w:lineRule="exact"/>
        <w:rPr>
          <w:sz w:val="24"/>
          <w:szCs w:val="24"/>
        </w:rPr>
      </w:pPr>
      <w:r>
        <w:rPr>
          <w:rFonts w:hint="eastAsia" w:eastAsia="宋体" w:cs="Times New Roman"/>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sz w:val="24"/>
          <w:szCs w:val="24"/>
        </w:rPr>
        <w:t xml:space="preserve">。</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rPr>
          <w:sz w:val="24"/>
          <w:szCs w:val="24"/>
        </w:rPr>
      </w:pPr>
      <w:r>
        <w:rPr>
          <w:sz w:val="24"/>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ascii="宋体" w:hAnsi="宋体" w:eastAsia="宋体" w:cs="宋体"/>
          <w:sz w:val="24"/>
          <w:szCs w:val="24"/>
          <w:lang w:val="en-US" w:eastAsia="zh-CN" w:bidi="ar"/>
        </w:rPr>
        <w:t xml:space="preserve">江苏财会职业学院现有教学机房互联网专线服务将于2026年8月31日服务到期。学校教学机房共计配置电脑终端约2000台，为保障全校400名教师日常机房教学、实训授课等教学工作稳定有序开展，现拟公开采购1G互联网专线服务及配套正版软件服务。本项目服务周期为3年，通过采购合规、稳定、优质的网络专线与正版软件服务，全面满足学校日常教学机房常态化教学使用需求，保障教学网络环境通畅、软件系统合规安全运行，为学校信息化教学工作开展提供坚实的硬件及网络软件支撑。</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rFonts w:asciiTheme="minorEastAsia" w:hAnsiTheme="minorEastAsia"/>
          <w:sz w:val="24"/>
        </w:rPr>
      </w:pPr>
      <w:r>
        <w:rPr>
          <w:rFonts w:hint="eastAsia" w:asciiTheme="minorEastAsia" w:hAnsiTheme="minorEastAsia"/>
          <w:sz w:val="24"/>
        </w:rPr>
        <w:t xml:space="preserve">1.服务范围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满足我校实训中心2000台实训电脑的互联网服务需求。同时满足我校2000台实训电脑和不低于400名教职工操作系统正版化和不低于400名教职工办公软件正版化服务。</w:t>
      </w:r>
      <w:r/>
    </w:p>
    <w:p>
      <w:pPr>
        <w:ind w:firstLine="480"/>
        <w:spacing w:line="360" w:lineRule="auto"/>
        <w:rPr>
          <w:rFonts w:asciiTheme="minorEastAsia" w:hAnsiTheme="minorEastAsia"/>
          <w:sz w:val="24"/>
        </w:rPr>
      </w:pPr>
      <w:r>
        <w:rPr>
          <w:rFonts w:asciiTheme="minorEastAsia" w:hAnsiTheme="minorEastAsia"/>
          <w:sz w:val="24"/>
        </w:rPr>
      </w:r>
      <w:r/>
    </w:p>
    <w:p>
      <w:pPr>
        <w:numPr>
          <w:ilvl w:val="0"/>
          <w:numId w:val="1"/>
        </w:numPr>
        <w:ind w:firstLine="480"/>
        <w:spacing w:line="360" w:lineRule="auto"/>
        <w:rPr>
          <w:rFonts w:asciiTheme="minorEastAsia" w:hAnsiTheme="minorEastAsia"/>
          <w:sz w:val="24"/>
        </w:rPr>
      </w:pPr>
      <w:r>
        <w:rPr>
          <w:rFonts w:hint="eastAsia" w:asciiTheme="minorEastAsia" w:hAnsiTheme="minorEastAsia"/>
          <w:sz w:val="24"/>
        </w:rPr>
        <w:t xml:space="preserve">服务技术要求</w:t>
      </w: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145"/>
        <w:gridCol w:w="6233"/>
      </w:tblGrid>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序号</w:t>
            </w:r>
            <w:r/>
          </w:p>
        </w:tc>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名称</w:t>
            </w:r>
            <w:r/>
          </w:p>
        </w:tc>
        <w:tc>
          <w:tcPr>
            <w:tcW w:w="4176"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技术指标</w:t>
            </w:r>
            <w:r/>
          </w:p>
        </w:tc>
      </w:tr>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1</w:t>
            </w:r>
            <w:r/>
          </w:p>
        </w:tc>
        <w:tc>
          <w:tcPr>
            <w:tcW w:w="2130" w:type="dxa"/>
            <w:textDirection w:val="lrTb"/>
            <w:noWrap w:val="false"/>
          </w:tcPr>
          <w:p>
            <w:pPr>
              <w:spacing w:line="360" w:lineRule="auto"/>
              <w:rPr>
                <w:rFonts w:hint="eastAsia" w:eastAsiaTheme="minorEastAsia"/>
                <w:szCs w:val="21"/>
                <w:lang w:val="en-US" w:eastAsia="zh-CN"/>
              </w:rPr>
            </w:pPr>
            <w:r>
              <w:rPr>
                <w:rFonts w:hint="eastAsia"/>
                <w:szCs w:val="21"/>
              </w:rPr>
              <w:t xml:space="preserve">互联网专线</w:t>
            </w:r>
            <w:r>
              <w:rPr>
                <w:rFonts w:hint="eastAsia"/>
                <w:szCs w:val="21"/>
                <w:lang w:val="en-US" w:eastAsia="zh-CN"/>
              </w:rPr>
              <w:t xml:space="preserve">服务</w:t>
            </w:r>
            <w:r/>
          </w:p>
        </w:tc>
        <w:tc>
          <w:tcPr>
            <w:tcW w:w="4176" w:type="dxa"/>
            <w:textDirection w:val="lrTb"/>
            <w:noWrap w:val="false"/>
          </w:tcPr>
          <w:p>
            <w:pPr>
              <w:ind w:left="0" w:firstLine="0"/>
              <w:spacing w:line="360" w:lineRule="auto"/>
              <w:rPr>
                <w:rFonts w:hint="eastAsia" w:asciiTheme="minorEastAsia" w:hAnsiTheme="minorEastAsia"/>
                <w:sz w:val="24"/>
              </w:rPr>
            </w:pPr>
            <w:r>
              <w:rPr>
                <w:rFonts w:hint="eastAsia" w:asciiTheme="minorEastAsia" w:hAnsiTheme="minorEastAsia"/>
                <w:sz w:val="24"/>
              </w:rPr>
              <w:t xml:space="preserve">带宽：不低于1000M</w:t>
            </w:r>
            <w:r/>
          </w:p>
          <w:p>
            <w:pPr>
              <w:ind w:left="0" w:firstLine="0"/>
              <w:spacing w:line="360" w:lineRule="auto"/>
              <w:rPr>
                <w:rFonts w:hint="default" w:eastAsia="仿宋_GB2312"/>
                <w:lang w:val="en-US" w:eastAsia="zh-CN"/>
              </w:rPr>
            </w:pPr>
            <w:r>
              <w:rPr>
                <w:rFonts w:hint="eastAsia" w:asciiTheme="minorEastAsia" w:hAnsiTheme="minorEastAsia"/>
                <w:sz w:val="24"/>
                <w:lang w:val="en-US" w:eastAsia="zh-CN"/>
              </w:rPr>
              <w:t xml:space="preserve">服务期限：3年</w:t>
            </w:r>
            <w:r/>
          </w:p>
        </w:tc>
      </w:tr>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2</w:t>
            </w:r>
            <w:r/>
          </w:p>
        </w:tc>
        <w:tc>
          <w:tcPr>
            <w:tcW w:w="2130" w:type="dxa"/>
            <w:textDirection w:val="lrTb"/>
            <w:noWrap w:val="false"/>
          </w:tcPr>
          <w:p>
            <w:pPr>
              <w:spacing w:line="360" w:lineRule="auto"/>
              <w:rPr>
                <w:rFonts w:hint="default" w:asciiTheme="minorEastAsia" w:hAnsiTheme="minorEastAsia" w:eastAsiaTheme="minorEastAsia"/>
                <w:sz w:val="24"/>
                <w:lang w:val="en-US" w:eastAsia="zh-CN"/>
              </w:rPr>
            </w:pPr>
            <w:r>
              <w:rPr>
                <w:rFonts w:hint="eastAsia" w:asciiTheme="minorEastAsia" w:hAnsiTheme="minorEastAsia"/>
                <w:sz w:val="24"/>
              </w:rPr>
              <w:t xml:space="preserve">操作系统</w:t>
            </w:r>
            <w:r>
              <w:rPr>
                <w:rFonts w:hint="eastAsia"/>
                <w:lang w:val="en-US" w:eastAsia="zh-CN"/>
              </w:rPr>
              <w:t xml:space="preserve">正版化服务</w:t>
            </w:r>
            <w:r/>
          </w:p>
        </w:tc>
        <w:tc>
          <w:tcPr>
            <w:tcW w:w="4176" w:type="dxa"/>
            <w:textDirection w:val="lrTb"/>
            <w:noWrap w:val="false"/>
          </w:tcPr>
          <w:p>
            <w:pPr>
              <w:ind w:left="0" w:firstLine="0"/>
              <w:spacing w:line="360" w:lineRule="auto"/>
              <w:rPr>
                <w:rFonts w:hint="eastAsia" w:asciiTheme="minorEastAsia" w:hAnsiTheme="minorEastAsia"/>
                <w:sz w:val="24"/>
              </w:rPr>
            </w:pPr>
            <w:r>
              <w:rPr>
                <w:rFonts w:hint="eastAsia" w:asciiTheme="minorEastAsia" w:hAnsiTheme="minorEastAsia"/>
                <w:sz w:val="24"/>
              </w:rPr>
              <w:t xml:space="preserve">1、能够实现与采购人当前使用的桌面操作系统、应用软件的完全兼容。所投产品应为市场主流、成熟稳定的面操作系统与采购人现有主要业务系统及硬件设备兼容。</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2、语言包满足的语言数量≥43 种，非管理员用户帐户可添加显示语言及其对应的语言功能，可将已装载的语言和可选功能 ISO 用作 FOD 和语言包存储库，无需手动自行创建。</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3、满足常用的PCIE以太网、WIFI设备等驱动程序“按需功能“提供，用户可以通过删除不适用于设备的驱动程序来更轻松地节省磁盘空间。</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4、满足用户帐户控制；操作系统实现对 USB 移动存储设备（如移动硬盘）驱动器的加密支持，以便在这些数据丢失或被盗时实现保护。</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5、实现集成的指纹读取器和操作系统登录。</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6、硬件</w:t>
            </w:r>
            <w:r>
              <w:rPr>
                <w:rFonts w:hint="eastAsia" w:asciiTheme="minorEastAsia" w:hAnsiTheme="minorEastAsia"/>
                <w:sz w:val="24"/>
                <w:lang w:val="en-US" w:eastAsia="zh-CN"/>
              </w:rPr>
              <w:t xml:space="preserve">设备</w:t>
            </w:r>
            <w:r>
              <w:rPr>
                <w:rFonts w:hint="eastAsia" w:asciiTheme="minorEastAsia" w:hAnsiTheme="minorEastAsia"/>
                <w:sz w:val="24"/>
              </w:rPr>
              <w:t xml:space="preserve">的添加和删除，能够正确识别处理器、问题步骤记录器、输入设备、输出设备、网络设备、图像和声音控制器、蓝牙控制器、系统总线控制器、电源管理控制器以及其他系统设备等硬件设备，硬件设备性能发挥正常、运行稳定。（1）处理器：正确识别 CPU 型号，支持多线程、多核技</w:t>
            </w:r>
            <w:r>
              <w:rPr>
                <w:rFonts w:hint="eastAsia" w:asciiTheme="minorEastAsia" w:hAnsiTheme="minorEastAsia"/>
                <w:sz w:val="24"/>
              </w:rPr>
              <w:t xml:space="preserve">术。（2）输入设备：可以自动识别目前主流的键盘、鼠标等输入设备，对不能识别的设备，可通过安装厂商提供的驱动软件正确识别。支持 USB2.0 以上的输入设备（如：扫描仪、摄像头、手写板等）的高速接入。（3）输出设备：显示器、打印机等，对不能识别的设备，可通过安装厂商提供的驱动软件正确识别。（4）网络设备：可自动识别目前主流的有线和无线网络设备，对不能识别的设备，可通过安装厂商提供的驱动软件正确识别。图像和声音控制器：可自动识别目前主流的图像和声音控制器，对不能识别的设备，可通过安装厂商提供的驱动软件正确识别。</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7、实现</w:t>
            </w:r>
            <w:r>
              <w:rPr>
                <w:rFonts w:hint="eastAsia" w:asciiTheme="minorEastAsia" w:hAnsiTheme="minorEastAsia"/>
                <w:sz w:val="24"/>
                <w:lang w:val="en-US" w:eastAsia="zh-CN"/>
              </w:rPr>
              <w:t xml:space="preserve">操作系统</w:t>
            </w:r>
            <w:r>
              <w:rPr>
                <w:rFonts w:hint="eastAsia" w:asciiTheme="minorEastAsia" w:hAnsiTheme="minorEastAsia"/>
                <w:sz w:val="24"/>
              </w:rPr>
              <w:t xml:space="preserve">内置支持的本地全局搜索。只需在搜索框中输入少许字母，就会显示匹配的文档、图片、音乐、电子邮件和其他文件的列表，所有内容都排列在相应的类别下。还可以直接在开始菜单中搜索控制面板任务，以便快速调整计算机设置。搜索还可以查找库中的文件，直接在开始菜单中搜索 PC 以外的位置。</w:t>
            </w:r>
            <w:r/>
          </w:p>
          <w:p>
            <w:pPr>
              <w:ind w:left="0" w:firstLine="0"/>
              <w:spacing w:line="360" w:lineRule="auto"/>
              <w:rPr>
                <w:rFonts w:hint="eastAsia" w:asciiTheme="minorEastAsia" w:hAnsiTheme="minorEastAsia"/>
                <w:sz w:val="24"/>
              </w:rPr>
            </w:pPr>
            <w:r>
              <w:rPr>
                <w:rFonts w:hint="eastAsia" w:asciiTheme="minorEastAsia" w:hAnsiTheme="minorEastAsia"/>
                <w:sz w:val="24"/>
              </w:rPr>
              <w:t xml:space="preserve">8、实现自动化的启动修复工具来诊断和恢复无法启动的系统。如果遇到无法成功启动的情况，操作系统会自动加载启动修复，扫描 PC 中的问题（比如注册表损坏、系统文件丢失或启动配置数据无效），并在可能的情况下自动修复它们，然后像往常一样重新启动。</w:t>
            </w:r>
            <w:r/>
          </w:p>
          <w:p>
            <w:pPr>
              <w:ind w:left="0" w:firstLine="0"/>
              <w:spacing w:line="360" w:lineRule="auto"/>
              <w:rPr>
                <w:rFonts w:hint="eastAsia" w:asciiTheme="minorEastAsia" w:hAnsiTheme="minorEastAsia"/>
                <w:sz w:val="24"/>
                <w:lang w:val="en-US" w:eastAsia="zh-CN"/>
              </w:rPr>
            </w:pPr>
            <w:r>
              <w:rPr>
                <w:rFonts w:hint="eastAsia" w:asciiTheme="minorEastAsia" w:hAnsiTheme="minorEastAsia"/>
                <w:sz w:val="24"/>
                <w:lang w:val="en-US" w:eastAsia="zh-CN"/>
              </w:rPr>
              <w:t xml:space="preserve">9、允许使用操作系统多个版本</w:t>
            </w:r>
            <w:r/>
          </w:p>
          <w:p>
            <w:pPr>
              <w:ind w:left="0" w:firstLine="0"/>
              <w:spacing w:line="360" w:lineRule="auto"/>
              <w:rPr>
                <w:rFonts w:hint="default" w:asciiTheme="minorEastAsia" w:hAnsiTheme="minorEastAsia"/>
                <w:sz w:val="24"/>
                <w:lang w:val="en-US" w:eastAsia="zh-CN"/>
              </w:rPr>
            </w:pPr>
            <w:r>
              <w:rPr>
                <w:rFonts w:hint="eastAsia" w:asciiTheme="minorEastAsia" w:hAnsiTheme="minorEastAsia"/>
                <w:sz w:val="24"/>
                <w:lang w:val="en-US" w:eastAsia="zh-CN"/>
              </w:rPr>
              <w:t xml:space="preserve">10、提供正版授权文件</w:t>
            </w:r>
            <w:r/>
          </w:p>
        </w:tc>
      </w:tr>
      <w:tr>
        <w:trPr/>
        <w:tc>
          <w:tcPr>
            <w:tcW w:w="2130" w:type="dxa"/>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3</w:t>
            </w:r>
            <w:r/>
          </w:p>
        </w:tc>
        <w:tc>
          <w:tcPr>
            <w:tcW w:w="2130" w:type="dxa"/>
            <w:textDirection w:val="lrTb"/>
            <w:noWrap w:val="false"/>
          </w:tcPr>
          <w:p>
            <w:pPr>
              <w:spacing w:line="360" w:lineRule="auto"/>
              <w:rPr>
                <w:rFonts w:hint="default" w:asciiTheme="minorEastAsia" w:hAnsiTheme="minorEastAsia" w:eastAsiaTheme="minorEastAsia"/>
                <w:sz w:val="24"/>
                <w:lang w:val="en-US" w:eastAsia="zh-CN"/>
              </w:rPr>
            </w:pPr>
            <w:r>
              <w:rPr>
                <w:rFonts w:hint="eastAsia" w:asciiTheme="minorEastAsia" w:hAnsiTheme="minorEastAsia"/>
                <w:sz w:val="24"/>
              </w:rPr>
              <w:t xml:space="preserve">办公软件</w:t>
            </w:r>
            <w:r>
              <w:rPr>
                <w:rFonts w:hint="eastAsia" w:asciiTheme="minorEastAsia" w:hAnsiTheme="minorEastAsia"/>
                <w:sz w:val="24"/>
                <w:lang w:val="en-US" w:eastAsia="zh-CN"/>
              </w:rPr>
              <w:t xml:space="preserve">正版化服务</w:t>
            </w:r>
            <w:r/>
          </w:p>
        </w:tc>
        <w:tc>
          <w:tcPr>
            <w:tcW w:w="4176" w:type="dxa"/>
            <w:textDirection w:val="lrTb"/>
            <w:noWrap w:val="false"/>
          </w:tcPr>
          <w:p>
            <w:pPr>
              <w:ind w:left="0" w:firstLine="0"/>
              <w:jc w:val="both"/>
              <w:spacing w:line="360" w:lineRule="auto"/>
              <w:rPr>
                <w:sz w:val="24"/>
                <w:szCs w:val="24"/>
              </w:rPr>
            </w:pPr>
            <w:r>
              <w:rPr>
                <w:rFonts w:hint="eastAsia"/>
                <w:sz w:val="24"/>
                <w:szCs w:val="24"/>
              </w:rPr>
              <w:t xml:space="preserve">1、文件格式要求：所投办公软件能生成.doc/.docx/.dot/.wps/.xls/.</w:t>
            </w:r>
            <w:r>
              <w:rPr>
                <w:sz w:val="24"/>
                <w:szCs w:val="24"/>
              </w:rPr>
              <w:t xml:space="preserve">xlsx</w:t>
            </w:r>
            <w:r>
              <w:rPr>
                <w:rFonts w:hint="eastAsia"/>
                <w:sz w:val="24"/>
                <w:szCs w:val="24"/>
              </w:rPr>
              <w:t xml:space="preserve">/.xlt/.et/.ppt/.pptx/.pps/.dps等文件格式。</w:t>
            </w:r>
            <w:r/>
          </w:p>
          <w:p>
            <w:pPr>
              <w:ind w:left="0" w:firstLine="0"/>
              <w:spacing w:line="360" w:lineRule="auto"/>
              <w:rPr>
                <w:sz w:val="24"/>
                <w:szCs w:val="24"/>
              </w:rPr>
            </w:pPr>
            <w:r>
              <w:rPr>
                <w:rFonts w:hint="eastAsia"/>
                <w:sz w:val="24"/>
                <w:szCs w:val="24"/>
              </w:rPr>
              <w:t xml:space="preserve">2、文字模块智能目录导航，自动识别文档结构，实时调整文档目录；标题格式不用调整样式，也可智能自动生成目录。</w:t>
            </w:r>
            <w:r/>
          </w:p>
          <w:p>
            <w:pPr>
              <w:ind w:left="0" w:firstLine="0"/>
              <w:spacing w:line="360" w:lineRule="auto"/>
              <w:rPr>
                <w:sz w:val="24"/>
                <w:szCs w:val="24"/>
              </w:rPr>
            </w:pPr>
            <w:r>
              <w:rPr>
                <w:rFonts w:hint="eastAsia"/>
                <w:sz w:val="24"/>
                <w:szCs w:val="24"/>
              </w:rPr>
              <w:t xml:space="preserve">3、表格模块支持表格的快速合并选择，支持教师用户一键选择合并居中、合并单元格、合并相同单元格、合并内容、取消合并单元格、拆分并填充内容。</w:t>
            </w:r>
            <w:r/>
          </w:p>
          <w:p>
            <w:pPr>
              <w:ind w:left="0" w:firstLine="0"/>
              <w:spacing w:line="360" w:lineRule="auto"/>
              <w:rPr>
                <w:sz w:val="24"/>
                <w:szCs w:val="24"/>
              </w:rPr>
            </w:pPr>
            <w:r>
              <w:rPr>
                <w:rFonts w:hint="eastAsia"/>
                <w:sz w:val="24"/>
                <w:szCs w:val="24"/>
              </w:rPr>
              <w:t xml:space="preserve">4、所投AI权益服务需满足全校教师使用。</w:t>
            </w:r>
            <w:r/>
          </w:p>
          <w:p>
            <w:pPr>
              <w:ind w:left="0" w:firstLine="0"/>
              <w:spacing w:line="360" w:lineRule="auto"/>
              <w:rPr>
                <w:sz w:val="24"/>
                <w:szCs w:val="24"/>
              </w:rPr>
            </w:pPr>
            <w:r>
              <w:rPr>
                <w:rFonts w:hint="eastAsia"/>
                <w:sz w:val="24"/>
                <w:szCs w:val="24"/>
              </w:rPr>
              <w:t xml:space="preserve">5、需支持教师在使用Office的文字模块、表格模块、幻灯片模块中直接一键开启AI功能。支持包括但不限于：AI写作、AI阅读、AI分析、AI设计等能力。</w:t>
            </w:r>
            <w:r/>
          </w:p>
          <w:p>
            <w:pPr>
              <w:ind w:left="0" w:firstLine="0"/>
              <w:spacing w:line="360" w:lineRule="auto"/>
              <w:rPr>
                <w:sz w:val="24"/>
                <w:szCs w:val="24"/>
              </w:rPr>
            </w:pPr>
            <w:r>
              <w:rPr>
                <w:rFonts w:hint="eastAsia"/>
                <w:sz w:val="24"/>
                <w:szCs w:val="24"/>
              </w:rPr>
              <w:t xml:space="preserve">6、支持教师在文字模块编辑文档时直接启用AI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w:t>
            </w:r>
            <w:r/>
          </w:p>
          <w:p>
            <w:pPr>
              <w:ind w:left="0" w:firstLine="0"/>
              <w:spacing w:line="360" w:lineRule="auto"/>
              <w:rPr>
                <w:sz w:val="24"/>
                <w:szCs w:val="24"/>
              </w:rPr>
            </w:pPr>
            <w:r>
              <w:rPr>
                <w:rFonts w:hint="eastAsia"/>
                <w:sz w:val="24"/>
                <w:szCs w:val="24"/>
              </w:rPr>
              <w:t xml:space="preserve">7、支持教师在文字模块对已经写好的文档进行更多创作，支持选中文档后对文档进行AI缩写、续写、扩写、重写和润色改写。其中润色改写时支持AI优化文档风格为口语化、学术化、党政化等。</w:t>
            </w:r>
            <w:r/>
          </w:p>
          <w:p>
            <w:pPr>
              <w:ind w:left="0" w:firstLine="0"/>
              <w:spacing w:line="360" w:lineRule="auto"/>
              <w:rPr>
                <w:sz w:val="24"/>
                <w:szCs w:val="24"/>
              </w:rPr>
            </w:pPr>
            <w:r>
              <w:rPr>
                <w:rFonts w:hint="eastAsia"/>
                <w:sz w:val="24"/>
                <w:szCs w:val="24"/>
              </w:rPr>
              <w:t xml:space="preserve">8、支持教师使用表格模块进行表格计算处理时启用AI分析，支持通过文字指令AI编写公式、AI条件格式处理、AI阅读表格数据等。</w:t>
            </w:r>
            <w:r/>
          </w:p>
          <w:p>
            <w:pPr>
              <w:ind w:left="0" w:firstLine="0"/>
              <w:spacing w:line="360" w:lineRule="auto"/>
              <w:rPr>
                <w:sz w:val="24"/>
                <w:szCs w:val="24"/>
              </w:rPr>
            </w:pPr>
            <w:r>
              <w:rPr>
                <w:rFonts w:hint="eastAsia"/>
                <w:sz w:val="24"/>
                <w:szCs w:val="24"/>
              </w:rPr>
              <w:t xml:space="preserve">9、支持教师制作幻灯片时启用AI设计，支持根据提示语生成PPT,支持导入文字文档、思维导图等生成PPT,支持粘贴大纲生成PPT。</w:t>
            </w:r>
            <w:r/>
          </w:p>
          <w:p>
            <w:pPr>
              <w:ind w:left="0" w:firstLine="0"/>
              <w:spacing w:line="360" w:lineRule="auto"/>
              <w:rPr>
                <w:sz w:val="24"/>
                <w:szCs w:val="24"/>
              </w:rPr>
            </w:pPr>
            <w:r>
              <w:rPr>
                <w:rFonts w:hint="eastAsia"/>
                <w:sz w:val="24"/>
                <w:szCs w:val="24"/>
              </w:rPr>
              <w:t xml:space="preserve">10、支持教师编辑文字文档时启用AI设计，一键完成文档格式整理和排版。支持格式排版分类包括但不限于：学位论文、合同协议、党政公文、招标文书等。使用学位论文排版时，可以直接输入学校名称，即可按需选择使用。</w:t>
            </w:r>
            <w:r/>
          </w:p>
          <w:p>
            <w:pPr>
              <w:ind w:left="0" w:firstLine="0"/>
              <w:spacing w:line="360" w:lineRule="auto"/>
              <w:rPr>
                <w:sz w:val="24"/>
                <w:szCs w:val="24"/>
              </w:rPr>
            </w:pPr>
            <w:r>
              <w:rPr>
                <w:rFonts w:hint="eastAsia"/>
                <w:sz w:val="24"/>
                <w:szCs w:val="24"/>
              </w:rPr>
              <w:t xml:space="preserve">11、教师云文档空间具备不少于1TB/人的存储容量，还可以根据教师使用情况进行分配。</w:t>
            </w:r>
            <w:r/>
          </w:p>
          <w:p>
            <w:pPr>
              <w:ind w:left="0" w:firstLine="0"/>
              <w:spacing w:line="360" w:lineRule="auto"/>
              <w:rPr>
                <w:sz w:val="24"/>
                <w:szCs w:val="24"/>
              </w:rPr>
            </w:pPr>
            <w:r>
              <w:rPr>
                <w:rFonts w:hint="eastAsia"/>
                <w:sz w:val="24"/>
                <w:szCs w:val="24"/>
              </w:rPr>
              <w:t xml:space="preserve">12、支持云文档调用本地office客户端打开，支持office客户端编辑文档内容同步上云。</w:t>
            </w:r>
            <w:r/>
          </w:p>
          <w:p>
            <w:pPr>
              <w:ind w:left="0" w:firstLine="0"/>
              <w:spacing w:line="360" w:lineRule="auto"/>
              <w:rPr>
                <w:sz w:val="24"/>
                <w:szCs w:val="24"/>
              </w:rPr>
            </w:pPr>
            <w:r>
              <w:rPr>
                <w:rFonts w:hint="eastAsia"/>
                <w:sz w:val="24"/>
                <w:szCs w:val="24"/>
              </w:rPr>
              <w:t xml:space="preserve">13、支持PDF版式文件格式互转功能，可与Word、Excel、PPT格式文档相互转换。</w:t>
            </w:r>
            <w:r/>
          </w:p>
          <w:p>
            <w:pPr>
              <w:ind w:left="0" w:firstLine="0"/>
              <w:spacing w:line="360" w:lineRule="auto"/>
              <w:rPr>
                <w:sz w:val="24"/>
                <w:szCs w:val="24"/>
              </w:rPr>
            </w:pPr>
            <w:r>
              <w:rPr>
                <w:rFonts w:hint="eastAsia"/>
                <w:sz w:val="24"/>
                <w:szCs w:val="24"/>
              </w:rPr>
              <w:t xml:space="preserve">14、支持实时通讯能力，支持编辑在线智能文档格式时基于文档开启组织内成员的会话聊天，支持传统IM工具界面的一对一单聊会话和创建群聊会话；会话支持设置消息免打扰、聊天列表置顶等功能。支持会议功能，可基于文档发起会议功能，并邀请其他成员参与；支持单独创建会议，通过会议ID或者链接可进行在线会议，可提供云文档共享、屏幕共享多种内容共享方式。</w:t>
            </w:r>
            <w:r/>
          </w:p>
          <w:p>
            <w:pPr>
              <w:ind w:left="0" w:firstLine="0"/>
              <w:spacing w:line="360" w:lineRule="auto"/>
              <w:rPr>
                <w:sz w:val="24"/>
                <w:szCs w:val="24"/>
              </w:rPr>
            </w:pPr>
            <w:r>
              <w:rPr>
                <w:rFonts w:hint="eastAsia"/>
                <w:sz w:val="24"/>
                <w:szCs w:val="24"/>
              </w:rPr>
              <w:t xml:space="preserve">15、支持表单功能，可创建基础表单、考试、打卡、接龙等多种常用信息采集表，提供多种常用模板，并且支持链接、二维码、海报、微信、QQ等方式进行邀请填写，后台自动生成Excel表格和填报情况汇总。</w:t>
            </w:r>
            <w:r/>
          </w:p>
          <w:p>
            <w:pPr>
              <w:ind w:left="0" w:firstLine="0"/>
              <w:spacing w:line="360" w:lineRule="auto"/>
              <w:rPr>
                <w:rFonts w:hint="eastAsia"/>
                <w:sz w:val="24"/>
                <w:szCs w:val="24"/>
              </w:rPr>
            </w:pPr>
            <w:r>
              <w:rPr>
                <w:rFonts w:hint="eastAsia"/>
                <w:sz w:val="24"/>
                <w:szCs w:val="24"/>
              </w:rPr>
              <w:t xml:space="preserve">16、提供文档安全管理能力，支持团队文档水印、团队文档加密保护、团队文档分享范围管控的能力。</w:t>
            </w:r>
            <w:r/>
          </w:p>
          <w:p>
            <w:pPr>
              <w:ind w:left="0" w:firstLine="0"/>
              <w:spacing w:line="360" w:lineRule="auto"/>
              <w:rPr>
                <w:rFonts w:hint="default"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17、提供</w:t>
            </w:r>
            <w:r>
              <w:rPr>
                <w:rFonts w:hint="eastAsia"/>
                <w:sz w:val="24"/>
                <w:szCs w:val="24"/>
                <w:lang w:val="en-US" w:eastAsia="zh-CN"/>
              </w:rPr>
              <w:t xml:space="preserve">正版</w:t>
            </w:r>
            <w:r>
              <w:rPr>
                <w:rFonts w:hint="eastAsia" w:asciiTheme="minorHAnsi" w:hAnsiTheme="minorHAnsi" w:eastAsiaTheme="minorEastAsia" w:cstheme="minorBidi"/>
                <w:sz w:val="24"/>
                <w:szCs w:val="24"/>
                <w:lang w:val="en-US" w:eastAsia="zh-CN" w:bidi="ar-SA"/>
              </w:rPr>
              <w:t xml:space="preserve">授权文件</w:t>
            </w:r>
            <w:r/>
          </w:p>
        </w:tc>
      </w:tr>
    </w:tbl>
    <w:p>
      <w:pPr>
        <w:spacing w:line="360" w:lineRule="auto"/>
        <w:rPr>
          <w:rFonts w:asciiTheme="minorEastAsia" w:hAnsiTheme="minorEastAsia"/>
          <w:sz w:val="24"/>
        </w:rPr>
      </w:pPr>
      <w:r>
        <w:rPr>
          <w:rFonts w:asciiTheme="minorEastAsia" w:hAnsiTheme="minorEastAsia"/>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jc w:val="left"/>
        <w:spacing w:line="360" w:lineRule="auto"/>
        <w:rPr>
          <w:rFonts w:ascii="宋体" w:hAnsi="宋体" w:eastAsia="宋体" w:cs="宋体"/>
          <w:spacing w:val="2"/>
          <w:sz w:val="24"/>
          <w:szCs w:val="24"/>
        </w:rPr>
      </w:pPr>
      <w:r>
        <w:rPr>
          <w:rFonts w:hint="eastAsia" w:ascii="Calibri" w:hAnsi="宋体" w:eastAsia="宋体" w:cs="宋体"/>
          <w:sz w:val="24"/>
          <w:szCs w:val="24"/>
          <w:lang w:bidi="ar"/>
        </w:rPr>
        <w:t xml:space="preserve">本项目由中标人负责现场安装调试，中标人至少委派1名</w:t>
      </w:r>
      <w:r>
        <w:rPr>
          <w:rFonts w:hint="eastAsia" w:hAnsi="宋体" w:eastAsia="宋体" w:cs="宋体"/>
          <w:sz w:val="24"/>
          <w:szCs w:val="24"/>
          <w:lang w:val="en-US" w:eastAsia="zh-CN" w:bidi="ar"/>
        </w:rPr>
        <w:t xml:space="preserve">的</w:t>
      </w:r>
      <w:r>
        <w:rPr>
          <w:rFonts w:hint="eastAsia" w:ascii="Calibri" w:hAnsi="宋体" w:eastAsia="宋体" w:cs="宋体"/>
          <w:sz w:val="24"/>
          <w:szCs w:val="24"/>
          <w:lang w:bidi="ar"/>
        </w:rPr>
        <w:t xml:space="preserve">项目负责人，熟悉相关法规、行业标准，具备项目管理所需技能，负责对整个项目的系统进度、实施调试及验收培训进行管理；另外本项目至少委派</w:t>
      </w:r>
      <w:r>
        <w:rPr>
          <w:rFonts w:hint="eastAsia" w:hAnsi="宋体" w:eastAsia="宋体" w:cs="宋体"/>
          <w:sz w:val="24"/>
          <w:szCs w:val="24"/>
          <w:lang w:val="en-US" w:eastAsia="zh-CN" w:bidi="ar"/>
        </w:rPr>
        <w:t xml:space="preserve">3</w:t>
      </w:r>
      <w:r>
        <w:rPr>
          <w:rFonts w:hint="eastAsia" w:ascii="Calibri" w:hAnsi="宋体" w:eastAsia="宋体" w:cs="宋体"/>
          <w:sz w:val="24"/>
          <w:szCs w:val="24"/>
          <w:lang w:bidi="ar"/>
        </w:rPr>
        <w:t xml:space="preserve">名项目组人员负责项目的安装调试，负责对该项目以及周边设备的配置与调整、调试系统性能</w:t>
      </w:r>
      <w:r>
        <w:rPr>
          <w:rFonts w:ascii="宋体" w:hAnsi="宋体" w:eastAsia="宋体" w:cs="宋体"/>
          <w:spacing w:val="2"/>
          <w:sz w:val="24"/>
          <w:szCs w:val="24"/>
        </w:rPr>
        <w:t xml:space="preserve">。</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2"/>
        <w:spacing w:line="360" w:lineRule="auto"/>
        <w:rPr>
          <w:b/>
          <w:bCs/>
          <w:i/>
          <w:iCs/>
          <w:sz w:val="24"/>
          <w:u w:val="single"/>
        </w:rPr>
      </w:pPr>
      <w:r>
        <w:rPr>
          <w:rFonts w:hint="eastAsia"/>
          <w:b/>
          <w:bCs/>
          <w:i/>
          <w:iCs/>
          <w:sz w:val="24"/>
          <w:u w:val="single"/>
        </w:rPr>
        <w:t xml:space="preserve">服务期限</w:t>
      </w:r>
      <w:r>
        <w:rPr>
          <w:rFonts w:hint="eastAsia"/>
          <w:b/>
          <w:bCs/>
          <w:i/>
          <w:iCs/>
          <w:sz w:val="24"/>
          <w:u w:val="single"/>
          <w:lang w:eastAsia="zh-CN"/>
        </w:rPr>
        <w:t xml:space="preserve">：</w:t>
      </w:r>
      <w:r>
        <w:rPr>
          <w:rFonts w:hint="eastAsia"/>
          <w:b/>
          <w:bCs/>
          <w:i/>
          <w:iCs/>
          <w:sz w:val="24"/>
          <w:u w:val="single"/>
        </w:rPr>
        <w:t xml:space="preserve">3年。</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rPr>
        <w:t xml:space="preserve">、培训要求</w:t>
      </w:r>
      <w:r/>
    </w:p>
    <w:p>
      <w:pPr>
        <w:ind w:firstLine="480"/>
        <w:spacing w:line="360" w:lineRule="auto"/>
        <w:rPr>
          <w:rFonts w:hint="eastAsia"/>
          <w:sz w:val="24"/>
        </w:rPr>
      </w:pPr>
      <w:r>
        <w:rPr>
          <w:rFonts w:hint="eastAsia"/>
          <w:sz w:val="24"/>
          <w:lang w:val="en-US" w:eastAsia="zh-CN"/>
        </w:rPr>
        <w:t xml:space="preserve">本次采购配套提供AI办公软件专项培训服务，培训总学时不少于4个标准学时，单学时时长为45分钟，总培训时长累计不低于180分</w:t>
      </w:r>
      <w:r>
        <w:rPr>
          <w:rFonts w:hint="eastAsia"/>
          <w:sz w:val="24"/>
          <w:lang w:val="en-US" w:eastAsia="zh-CN"/>
        </w:rPr>
        <w:t xml:space="preserve">钟。为适配学校教师教学工作节奏，培训可灵活分批次开展，整体培训工作可分为两次完成，单次培训时长、参训人数可根据校方教学安排动态调整。培训内容聚焦正版办公软件AI智能功能实操应用，涵盖AI文档智能排版、智能内容生成与优化、AI数据统计分析、智能演示文稿制作、AI办公高效辅助工具实操等贴合教学场景的实用功能。培训需结合院校教学工作实际案例开展实操教学，帮助教师熟练掌握AI办公工具的高效应用方法，切实提升教职工信息化、智能化办公与教学辅助能力，培训结束后可配合校方完成实操答疑、技能巩固指导工作，确保培训落地见效。</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、履约验收</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1、</w:t>
      </w:r>
      <w:r>
        <w:rPr>
          <w:rFonts w:hint="eastAsia" w:ascii="Calibri" w:hAnsi="宋体" w:eastAsia="宋体" w:cs="宋体"/>
          <w:sz w:val="24"/>
          <w:szCs w:val="24"/>
          <w:lang w:bidi="ar"/>
        </w:rPr>
        <w:t xml:space="preserve">按招标文件要求，采购人先对采购标的进行验收，功能满足</w:t>
      </w:r>
      <w:r>
        <w:rPr>
          <w:rFonts w:hint="eastAsia" w:ascii="Calibri" w:hAnsi="宋体" w:eastAsia="宋体" w:cs="宋体"/>
          <w:sz w:val="24"/>
          <w:szCs w:val="24"/>
          <w:lang w:val="en-US" w:eastAsia="zh-CN" w:bidi="ar"/>
        </w:rPr>
        <w:t xml:space="preserve">是否</w:t>
      </w:r>
      <w:r>
        <w:rPr>
          <w:rFonts w:hint="eastAsia" w:ascii="Calibri" w:hAnsi="宋体" w:eastAsia="宋体" w:cs="宋体"/>
          <w:sz w:val="24"/>
          <w:szCs w:val="24"/>
          <w:lang w:bidi="ar"/>
        </w:rPr>
        <w:t xml:space="preserve">采购清单及技术参数。中标人按照招标要求整体</w:t>
      </w:r>
      <w:r>
        <w:rPr>
          <w:rFonts w:hint="eastAsia" w:ascii="Calibri" w:hAnsi="宋体" w:eastAsia="宋体" w:cs="宋体"/>
          <w:sz w:val="24"/>
          <w:szCs w:val="24"/>
          <w:lang w:val="en-US" w:eastAsia="zh-CN" w:bidi="ar"/>
        </w:rPr>
        <w:t xml:space="preserve">服务</w:t>
      </w:r>
      <w:r>
        <w:rPr>
          <w:rFonts w:hint="eastAsia" w:ascii="Calibri" w:hAnsi="宋体" w:eastAsia="宋体" w:cs="宋体"/>
          <w:sz w:val="24"/>
          <w:szCs w:val="24"/>
          <w:lang w:bidi="ar"/>
        </w:rPr>
        <w:t xml:space="preserve">内容调试完毕并完整上线，系统满足质量要求及安全要求，即验收合格。</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2、</w:t>
      </w:r>
      <w:r>
        <w:rPr>
          <w:rFonts w:hint="eastAsia" w:ascii="Calibri" w:hAnsi="宋体" w:eastAsia="宋体" w:cs="宋体"/>
          <w:sz w:val="24"/>
          <w:szCs w:val="24"/>
          <w:lang w:bidi="ar"/>
        </w:rPr>
        <w:t xml:space="preserve">如发现</w:t>
      </w:r>
      <w:r>
        <w:rPr>
          <w:rFonts w:hint="eastAsia" w:ascii="Calibri" w:hAnsi="宋体" w:eastAsia="宋体" w:cs="宋体"/>
          <w:sz w:val="24"/>
          <w:szCs w:val="24"/>
          <w:lang w:val="en-US" w:eastAsia="zh-CN" w:bidi="ar"/>
        </w:rPr>
        <w:t xml:space="preserve">服务内容</w:t>
      </w:r>
      <w:r>
        <w:rPr>
          <w:rFonts w:hint="eastAsia" w:ascii="Calibri" w:hAnsi="宋体" w:eastAsia="宋体" w:cs="宋体"/>
          <w:sz w:val="24"/>
          <w:szCs w:val="24"/>
          <w:lang w:bidi="ar"/>
        </w:rPr>
        <w:t xml:space="preserve">与投标参数不符，采购</w:t>
      </w:r>
      <w:r>
        <w:rPr>
          <w:rFonts w:hint="eastAsia" w:hAnsi="宋体" w:eastAsia="宋体" w:cs="宋体"/>
          <w:sz w:val="24"/>
          <w:szCs w:val="24"/>
          <w:lang w:val="en-US" w:eastAsia="zh-CN" w:bidi="ar"/>
        </w:rPr>
        <w:t xml:space="preserve">人</w:t>
      </w:r>
      <w:r>
        <w:rPr>
          <w:rFonts w:hint="eastAsia" w:ascii="Calibri" w:hAnsi="宋体" w:eastAsia="宋体" w:cs="宋体"/>
          <w:sz w:val="24"/>
          <w:szCs w:val="24"/>
          <w:lang w:bidi="ar"/>
        </w:rPr>
        <w:t xml:space="preserve">有权</w:t>
      </w:r>
      <w:r>
        <w:rPr>
          <w:rFonts w:hint="eastAsia" w:ascii="Calibri" w:hAnsi="宋体" w:eastAsia="宋体" w:cs="宋体"/>
          <w:sz w:val="24"/>
          <w:szCs w:val="24"/>
          <w:lang w:val="en-US" w:eastAsia="zh-CN" w:bidi="ar"/>
        </w:rPr>
        <w:t xml:space="preserve">解除合同</w:t>
      </w:r>
      <w:r>
        <w:rPr>
          <w:rFonts w:hint="eastAsia" w:ascii="Calibri" w:hAnsi="宋体" w:eastAsia="宋体" w:cs="宋体"/>
          <w:sz w:val="24"/>
          <w:szCs w:val="24"/>
          <w:lang w:bidi="ar"/>
        </w:rPr>
        <w:t xml:space="preserve">，所产生的任何费用由中标人负责，采购人并有权向中标人提出索赔。</w:t>
      </w:r>
      <w:r/>
    </w:p>
    <w:p>
      <w:pPr>
        <w:pStyle w:val="874"/>
      </w:p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pPr>
      <w:r>
        <w:rPr>
          <w:rFonts w:hint="eastAsia" w:cs="Times New Roman" w:asciiTheme="minorEastAsia" w:hAnsiTheme="minorEastAsia"/>
          <w:sz w:val="24"/>
          <w:szCs w:val="24"/>
        </w:rPr>
        <w:t xml:space="preserve">1、付款方式</w:t>
      </w:r>
      <w:r/>
    </w:p>
    <w:p>
      <w:pPr>
        <w:ind w:firstLine="420"/>
        <w:jc w:val="left"/>
        <w:spacing w:line="360" w:lineRule="auto"/>
        <w:rPr>
          <w:rFonts w:hint="default" w:eastAsiaTheme="minorEastAsia"/>
          <w:lang w:val="en-US" w:eastAsia="zh-CN"/>
        </w:rPr>
      </w:pPr>
      <w:r>
        <w:rPr>
          <w:rFonts w:hint="eastAsia"/>
          <w:lang w:val="en-US" w:eastAsia="zh-CN"/>
        </w:rPr>
        <w:t xml:space="preserve">合同签订后按季度付款。第一次付款前需提供操作系统正版化和办公软件正版化的授权文件。</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jc w:val="left"/>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、报价要求</w:t>
      </w:r>
      <w:r/>
    </w:p>
    <w:p>
      <w:pPr>
        <w:ind w:firstLine="480"/>
        <w:jc w:val="left"/>
        <w:keepLines w:val="0"/>
        <w:keepNext w:val="0"/>
        <w:pageBreakBefore w:val="0"/>
        <w:spacing w:line="500" w:lineRule="exact"/>
        <w:widowControl w:val="off"/>
        <w:rPr>
          <w:rFonts w:hint="eastAsia" w:ascii="Times New Roman" w:hAnsi="Times New Roman" w:eastAsia="宋体" w:cs="Times New Roman"/>
          <w:b w:val="0"/>
          <w:bCs w:val="0"/>
          <w:i w:val="0"/>
          <w:iCs w:val="0"/>
          <w:sz w:val="24"/>
          <w:u w:val="none"/>
        </w:rPr>
      </w:pPr>
      <w:r>
        <w:rPr>
          <w:rFonts w:hint="eastAsia" w:ascii="Times New Roman" w:hAnsi="Times New Roman" w:eastAsia="宋体" w:cs="Times New Roman"/>
          <w:b w:val="0"/>
          <w:bCs w:val="0"/>
          <w:i w:val="0"/>
          <w:iCs w:val="0"/>
          <w:sz w:val="24"/>
          <w:u w:val="none"/>
        </w:rPr>
        <w:t xml:space="preserve">1、本项目最后报价不得超过预算金额。供应商应对所投项目的全部内容进行报价，完成招标文件规定的服务工作所涉及到的一切相关费用。</w:t>
      </w:r>
      <w:r/>
    </w:p>
    <w:p>
      <w:pPr>
        <w:ind w:firstLine="480"/>
        <w:jc w:val="left"/>
        <w:keepLines w:val="0"/>
        <w:keepNext w:val="0"/>
        <w:pageBreakBefore w:val="0"/>
        <w:spacing w:line="500" w:lineRule="exact"/>
        <w:widowControl w:val="off"/>
        <w:rPr>
          <w:rFonts w:hint="eastAsia" w:ascii="Times New Roman" w:hAnsi="Times New Roman" w:eastAsia="宋体" w:cs="Times New Roman"/>
          <w:b w:val="0"/>
          <w:bCs w:val="0"/>
          <w:i w:val="0"/>
          <w:iCs w:val="0"/>
          <w:sz w:val="24"/>
          <w:u w:val="none"/>
        </w:rPr>
      </w:pPr>
      <w:r>
        <w:rPr>
          <w:rFonts w:hint="eastAsia" w:ascii="Times New Roman" w:hAnsi="Times New Roman" w:eastAsia="宋体" w:cs="Times New Roman"/>
          <w:b w:val="0"/>
          <w:bCs w:val="0"/>
          <w:i w:val="0"/>
          <w:iCs w:val="0"/>
          <w:sz w:val="24"/>
          <w:u w:val="none"/>
        </w:rPr>
        <w:t xml:space="preserve">2、供应商应采用分项报价最终汇总的方式进行，须按照拟提供服务宽带的每月报价和总价详细填写详细报价书。</w:t>
      </w:r>
      <w:r/>
    </w:p>
    <w:p>
      <w:pPr>
        <w:ind w:firstLine="480"/>
        <w:jc w:val="left"/>
        <w:keepLines w:val="0"/>
        <w:keepNext w:val="0"/>
        <w:pageBreakBefore w:val="0"/>
        <w:spacing w:line="500" w:lineRule="exact"/>
        <w:widowControl w:val="off"/>
        <w:rPr>
          <w:rFonts w:ascii="黑体" w:hAnsi="黑体" w:eastAsia="黑体"/>
          <w:bCs/>
          <w:sz w:val="44"/>
          <w:szCs w:val="44"/>
        </w:rPr>
      </w:pPr>
      <w:r>
        <w:rPr>
          <w:rFonts w:hint="eastAsia" w:ascii="Times New Roman" w:hAnsi="Times New Roman" w:eastAsia="宋体" w:cs="Times New Roman"/>
          <w:b w:val="0"/>
          <w:bCs w:val="0"/>
          <w:i w:val="0"/>
          <w:iCs w:val="0"/>
          <w:sz w:val="24"/>
          <w:u w:val="none"/>
        </w:rPr>
        <w:t xml:space="preserve">3、本次投标报价为包干制。</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rPr>
          <w:rFonts w:ascii="黑体" w:hAnsi="黑体" w:eastAsia="黑体"/>
          <w:b/>
        </w:rPr>
      </w:pPr>
      <w:r>
        <w:rPr>
          <w:rFonts w:ascii="黑体" w:hAnsi="黑体" w:eastAsia="黑体"/>
          <w:b/>
        </w:rPr>
        <w:br w:type="page" w:clear="all"/>
      </w:r>
      <w:r/>
    </w:p>
    <w:p>
      <w:pPr>
        <w:pStyle w:val="863"/>
      </w:pPr>
      <w:r/>
      <w:r/>
    </w:p>
    <w:p>
      <w:pPr>
        <w:pStyle w:val="845"/>
        <w:jc w:val="center"/>
        <w:spacing w:line="360" w:lineRule="auto"/>
        <w:rPr>
          <w:rFonts w:ascii="黑体" w:hAnsi="黑体" w:eastAsia="黑体"/>
          <w:b w:val="0"/>
        </w:rPr>
      </w:pPr>
      <w:r/>
      <w:bookmarkStart w:id="9"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最低评标价法，是指投标文件满足招标文件全部实质性要求，且投标报价最低的投标人为中标候选人的评标方法。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）总得分=价格分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评标结果按投标报价由低到高顺序排列。投标报价相同的并列。投标文件满足招标文件全部实质性要求且投标报价最低的投标人为排名第一的中标候选人。</w:t>
      </w:r>
      <w:r/>
    </w:p>
    <w:p>
      <w:pPr>
        <w:ind w:firstLine="480"/>
        <w:jc w:val="left"/>
        <w:spacing w:line="500" w:lineRule="exact"/>
        <w:rPr>
          <w:sz w:val="24"/>
          <w:szCs w:val="24"/>
        </w:rPr>
      </w:pPr>
      <w:r>
        <w:rPr>
          <w:sz w:val="24"/>
          <w:szCs w:val="24"/>
        </w:rPr>
      </w:r>
      <w:r/>
    </w:p>
    <w:p>
      <w:pPr>
        <w:pStyle w:val="863"/>
      </w:pPr>
      <w:r/>
      <w:r/>
    </w:p>
    <w:p>
      <w:pPr>
        <w:jc w:val="center"/>
        <w:spacing w:line="500" w:lineRule="exact"/>
        <w:rPr>
          <w:rFonts w:ascii="黑体" w:hAnsi="黑体" w:eastAsia="黑体"/>
          <w:sz w:val="32"/>
          <w:szCs w:val="24"/>
        </w:rPr>
      </w:pPr>
      <w:r>
        <w:rPr>
          <w:rFonts w:hint="eastAsia" w:ascii="黑体" w:hAnsi="黑体" w:eastAsia="黑体"/>
          <w:sz w:val="32"/>
          <w:szCs w:val="24"/>
        </w:rPr>
        <w:t xml:space="preserve">最低评标价法</w:t>
      </w:r>
      <w:r/>
    </w:p>
    <w:p>
      <w:pPr>
        <w:ind w:firstLine="482"/>
        <w:jc w:val="left"/>
        <w:spacing w:line="500" w:lineRule="exact"/>
        <w:rPr>
          <w:b/>
          <w:sz w:val="24"/>
          <w:szCs w:val="24"/>
        </w:rPr>
      </w:pPr>
      <w:r>
        <w:rPr>
          <w:rFonts w:hint="eastAsia" w:asciiTheme="minorEastAsia" w:hAnsiTheme="minorEastAsia"/>
          <w:b/>
          <w:sz w:val="24"/>
          <w:szCs w:val="24"/>
        </w:rPr>
        <w:t xml:space="preserve">1.价格分（100分）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10" w:name="_Toc162361615"/>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9"/>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49"/>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9"/>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2" w:name="_Hlt26955056"/>
            <w:r/>
            <w:bookmarkEnd w:id="12"/>
            <w:r/>
            <w:bookmarkStart w:id="13" w:name="_Hlt26955064"/>
            <w:r/>
            <w:bookmarkEnd w:id="13"/>
            <w:r/>
            <w:bookmarkStart w:id="14" w:name="_Hlt26671372"/>
            <w:r/>
            <w:bookmarkEnd w:id="14"/>
            <w:r/>
            <w:bookmarkStart w:id="15" w:name="_Hlt24879081"/>
            <w:r/>
            <w:bookmarkEnd w:id="15"/>
            <w:r/>
            <w:bookmarkStart w:id="16" w:name="_Hlt26671343"/>
            <w:r/>
            <w:bookmarkEnd w:id="16"/>
            <w:r/>
            <w:bookmarkStart w:id="17" w:name="_Hlt26580838"/>
            <w:r/>
            <w:bookmarkEnd w:id="17"/>
            <w:r/>
            <w:bookmarkStart w:id="18" w:name="_Hlt26609391"/>
            <w:r/>
            <w:bookmarkEnd w:id="18"/>
            <w:r/>
            <w:bookmarkStart w:id="19" w:name="_Hlt26782999"/>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09389"/>
      <w:r/>
      <w:bookmarkEnd w:id="20"/>
      <w:r/>
      <w:bookmarkStart w:id="21" w:name="_格式2__法定代表人授权书"/>
      <w:r/>
      <w:bookmarkEnd w:id="21"/>
      <w:r/>
      <w:bookmarkStart w:id="22" w:name="_Hlt26671374"/>
      <w:r/>
      <w:bookmarkEnd w:id="22"/>
      <w:r/>
      <w:bookmarkStart w:id="23" w:name="_Hlt26955066"/>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9"/>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49"/>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宋体" w:hAnsi="宋体" w:eastAsia="宋体" w:cs="Times New Roman"/>
          <w:b/>
          <w:color w:val="000000"/>
          <w:sz w:val="24"/>
          <w:szCs w:val="24"/>
        </w:rPr>
      </w:pPr>
      <w:r>
        <w:rPr>
          <w:rFonts w:hint="eastAsia" w:ascii="宋体" w:hAnsi="宋体" w:eastAsia="宋体" w:cs="宋体"/>
          <w:b/>
          <w:bCs/>
          <w:color w:val="000000"/>
          <w:sz w:val="36"/>
          <w:szCs w:val="36"/>
          <w:highlight w:val="yellow"/>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859"/>
        <w:tblW w:w="8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2"/>
        <w:gridCol w:w="3119"/>
        <w:gridCol w:w="3107"/>
      </w:tblGrid>
      <w:tr>
        <w:trPr>
          <w:jc w:val="center"/>
        </w:trPr>
        <w:tc>
          <w:tcPr>
            <w:tcW w:w="218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3119"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3107"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182"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19"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07"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（备注：优惠率报价时选用，确定后该备注删除。）</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2"/>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Symbol">
    <w:panose1 w:val="05050102010706020507"/>
  </w:font>
  <w:font w:name="Wingdings">
    <w:panose1 w:val="05000000000000000000"/>
  </w:font>
  <w:font w:name="MS Mincho">
    <w:panose1 w:val="02020603050405090304"/>
  </w:font>
  <w:font w:name="楷体_GB2312">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5"/>
          <w:jc w:val="center"/>
        </w:pPr>
        <w:r>
          <w:fldChar w:fldCharType="begin"/>
        </w:r>
        <w:r>
          <w:instrText xml:space="preserve"> PAGE   \* MERGEFORMAT </w:instrText>
        </w:r>
        <w:r>
          <w:fldChar w:fldCharType="separate"/>
        </w:r>
        <w:r>
          <w:rPr>
            <w:lang w:val="zh-CN"/>
          </w:rPr>
          <w:t xml:space="preserve">31</w:t>
        </w:r>
        <w:r>
          <w:rPr>
            <w:lang w:val="zh-CN"/>
          </w:rPr>
          <w:fldChar w:fldCharType="end"/>
        </w:r>
        <w:r/>
      </w:p>
    </w:sdtContent>
  </w:sdt>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5"/>
    <w:uiPriority w:val="9"/>
    <w:rPr>
      <w:rFonts w:ascii="Arial" w:hAnsi="Arial" w:eastAsia="Arial" w:cs="Arial"/>
      <w:sz w:val="40"/>
      <w:szCs w:val="40"/>
    </w:rPr>
  </w:style>
  <w:style w:type="character" w:styleId="675">
    <w:name w:val="Heading 2 Char"/>
    <w:basedOn w:val="848"/>
    <w:link w:val="846"/>
    <w:uiPriority w:val="9"/>
    <w:rPr>
      <w:rFonts w:ascii="Arial" w:hAnsi="Arial" w:eastAsia="Arial" w:cs="Arial"/>
      <w:sz w:val="34"/>
    </w:rPr>
  </w:style>
  <w:style w:type="character" w:styleId="676">
    <w:name w:val="Heading 3 Char"/>
    <w:basedOn w:val="848"/>
    <w:link w:val="847"/>
    <w:uiPriority w:val="9"/>
    <w:rPr>
      <w:rFonts w:ascii="Arial" w:hAnsi="Arial" w:eastAsia="Arial" w:cs="Arial"/>
      <w:sz w:val="30"/>
      <w:szCs w:val="30"/>
    </w:rPr>
  </w:style>
  <w:style w:type="paragraph" w:styleId="677">
    <w:name w:val="Heading 4"/>
    <w:basedOn w:val="844"/>
    <w:next w:val="844"/>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8"/>
    <w:link w:val="677"/>
    <w:uiPriority w:val="9"/>
    <w:rPr>
      <w:rFonts w:ascii="Arial" w:hAnsi="Arial" w:eastAsia="Arial" w:cs="Arial"/>
      <w:b/>
      <w:bCs/>
      <w:sz w:val="26"/>
      <w:szCs w:val="26"/>
    </w:rPr>
  </w:style>
  <w:style w:type="paragraph" w:styleId="679">
    <w:name w:val="Heading 5"/>
    <w:basedOn w:val="844"/>
    <w:next w:val="844"/>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8"/>
    <w:link w:val="679"/>
    <w:uiPriority w:val="9"/>
    <w:rPr>
      <w:rFonts w:ascii="Arial" w:hAnsi="Arial" w:eastAsia="Arial" w:cs="Arial"/>
      <w:b/>
      <w:bCs/>
      <w:sz w:val="24"/>
      <w:szCs w:val="24"/>
    </w:rPr>
  </w:style>
  <w:style w:type="paragraph" w:styleId="681">
    <w:name w:val="Heading 6"/>
    <w:basedOn w:val="844"/>
    <w:next w:val="844"/>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8"/>
    <w:link w:val="681"/>
    <w:uiPriority w:val="9"/>
    <w:rPr>
      <w:rFonts w:ascii="Arial" w:hAnsi="Arial" w:eastAsia="Arial" w:cs="Arial"/>
      <w:b/>
      <w:bCs/>
      <w:sz w:val="22"/>
      <w:szCs w:val="22"/>
    </w:rPr>
  </w:style>
  <w:style w:type="paragraph" w:styleId="683">
    <w:name w:val="Heading 7"/>
    <w:basedOn w:val="844"/>
    <w:next w:val="844"/>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8"/>
    <w:link w:val="683"/>
    <w:uiPriority w:val="9"/>
    <w:rPr>
      <w:rFonts w:ascii="Arial" w:hAnsi="Arial" w:eastAsia="Arial" w:cs="Arial"/>
      <w:b/>
      <w:bCs/>
      <w:i/>
      <w:iCs/>
      <w:sz w:val="22"/>
      <w:szCs w:val="22"/>
    </w:rPr>
  </w:style>
  <w:style w:type="paragraph" w:styleId="685">
    <w:name w:val="Heading 8"/>
    <w:basedOn w:val="844"/>
    <w:next w:val="844"/>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8"/>
    <w:link w:val="685"/>
    <w:uiPriority w:val="9"/>
    <w:rPr>
      <w:rFonts w:ascii="Arial" w:hAnsi="Arial" w:eastAsia="Arial" w:cs="Arial"/>
      <w:i/>
      <w:iCs/>
      <w:sz w:val="22"/>
      <w:szCs w:val="22"/>
    </w:rPr>
  </w:style>
  <w:style w:type="paragraph" w:styleId="687">
    <w:name w:val="Heading 9"/>
    <w:basedOn w:val="844"/>
    <w:next w:val="844"/>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8"/>
    <w:link w:val="687"/>
    <w:uiPriority w:val="9"/>
    <w:rPr>
      <w:rFonts w:ascii="Arial" w:hAnsi="Arial" w:eastAsia="Arial" w:cs="Arial"/>
      <w:i/>
      <w:iCs/>
      <w:sz w:val="21"/>
      <w:szCs w:val="21"/>
    </w:rPr>
  </w:style>
  <w:style w:type="paragraph" w:styleId="689">
    <w:name w:val="List Paragraph"/>
    <w:basedOn w:val="844"/>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4"/>
    <w:next w:val="844"/>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4"/>
    <w:next w:val="844"/>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4"/>
    <w:next w:val="844"/>
    <w:link w:val="696"/>
    <w:uiPriority w:val="29"/>
    <w:qFormat/>
    <w:pPr>
      <w:ind w:left="720" w:right="720"/>
    </w:pPr>
    <w:rPr>
      <w:i/>
    </w:rPr>
  </w:style>
  <w:style w:type="character" w:styleId="696">
    <w:name w:val="Quote Char"/>
    <w:link w:val="695"/>
    <w:uiPriority w:val="29"/>
    <w:rPr>
      <w:i/>
    </w:rPr>
  </w:style>
  <w:style w:type="paragraph" w:styleId="697">
    <w:name w:val="Intense Quote"/>
    <w:basedOn w:val="844"/>
    <w:next w:val="844"/>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6"/>
    <w:uiPriority w:val="99"/>
  </w:style>
  <w:style w:type="character" w:styleId="700">
    <w:name w:val="Footer Char"/>
    <w:basedOn w:val="848"/>
    <w:link w:val="855"/>
    <w:uiPriority w:val="99"/>
  </w:style>
  <w:style w:type="paragraph" w:styleId="701">
    <w:name w:val="Caption"/>
    <w:basedOn w:val="844"/>
    <w:next w:val="844"/>
    <w:uiPriority w:val="35"/>
    <w:semiHidden/>
    <w:unhideWhenUsed/>
    <w:qFormat/>
    <w:pPr>
      <w:spacing w:line="276" w:lineRule="auto"/>
    </w:pPr>
    <w:rPr>
      <w:b/>
      <w:bCs/>
      <w:color w:val="4f81bd" w:themeColor="accent1"/>
      <w:sz w:val="18"/>
      <w:szCs w:val="18"/>
    </w:rPr>
  </w:style>
  <w:style w:type="character" w:styleId="702">
    <w:name w:val="Caption Char"/>
    <w:basedOn w:val="701"/>
    <w:link w:val="855"/>
    <w:uiPriority w:val="99"/>
  </w:style>
  <w:style w:type="table" w:styleId="703">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44"/>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8"/>
    <w:uiPriority w:val="99"/>
    <w:unhideWhenUsed/>
    <w:rPr>
      <w:vertAlign w:val="superscript"/>
    </w:rPr>
  </w:style>
  <w:style w:type="paragraph" w:styleId="831">
    <w:name w:val="endnote text"/>
    <w:basedOn w:val="844"/>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8"/>
    <w:uiPriority w:val="99"/>
    <w:semiHidden/>
    <w:unhideWhenUsed/>
    <w:rPr>
      <w:vertAlign w:val="superscript"/>
    </w:r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5">
    <w:name w:val="Heading 1"/>
    <w:basedOn w:val="844"/>
    <w:next w:val="844"/>
    <w:link w:val="867"/>
    <w:uiPriority w:val="9"/>
    <w:qFormat/>
    <w:pPr>
      <w:keepLines/>
      <w:keepNext/>
      <w:spacing w:before="340" w:after="330" w:line="578" w:lineRule="auto"/>
      <w:outlineLvl w:val="0"/>
    </w:pPr>
    <w:rPr>
      <w:b/>
      <w:bCs/>
      <w:sz w:val="44"/>
      <w:szCs w:val="44"/>
    </w:rPr>
  </w:style>
  <w:style w:type="paragraph" w:styleId="846">
    <w:name w:val="Heading 2"/>
    <w:basedOn w:val="844"/>
    <w:next w:val="844"/>
    <w:link w:val="8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7">
    <w:name w:val="Heading 3"/>
    <w:basedOn w:val="844"/>
    <w:next w:val="844"/>
    <w:link w:val="870"/>
    <w:uiPriority w:val="9"/>
    <w:unhideWhenUsed/>
    <w:qFormat/>
    <w:pPr>
      <w:keepLines/>
      <w:keepNext/>
      <w:spacing w:before="260" w:after="260" w:line="416" w:lineRule="auto"/>
      <w:outlineLvl w:val="2"/>
    </w:pPr>
    <w:rPr>
      <w:b/>
      <w:bCs/>
      <w:sz w:val="32"/>
      <w:szCs w:val="32"/>
    </w:rPr>
  </w:style>
  <w:style w:type="character" w:styleId="848" w:default="1">
    <w:name w:val="Default Paragraph Font"/>
    <w:uiPriority w:val="1"/>
    <w:semiHidden/>
    <w:unhideWhenUsed/>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Document Map"/>
    <w:basedOn w:val="844"/>
    <w:link w:val="868"/>
    <w:uiPriority w:val="99"/>
    <w:semiHidden/>
    <w:unhideWhenUsed/>
    <w:qFormat/>
    <w:rPr>
      <w:rFonts w:ascii="宋体" w:eastAsia="宋体"/>
      <w:sz w:val="18"/>
      <w:szCs w:val="18"/>
    </w:rPr>
  </w:style>
  <w:style w:type="paragraph" w:styleId="851">
    <w:name w:val="annotation text"/>
    <w:basedOn w:val="844"/>
    <w:link w:val="872"/>
    <w:uiPriority w:val="0"/>
    <w:qFormat/>
    <w:pPr>
      <w:ind w:firstLine="922"/>
      <w:jc w:val="left"/>
      <w:spacing w:line="360" w:lineRule="auto"/>
    </w:pPr>
    <w:rPr>
      <w:rFonts w:ascii="Times New Roman" w:hAnsi="Times New Roman" w:eastAsia="宋体" w:cs="Times New Roman"/>
      <w:szCs w:val="24"/>
    </w:rPr>
  </w:style>
  <w:style w:type="paragraph" w:styleId="852">
    <w:name w:val="Plain Text"/>
    <w:basedOn w:val="844"/>
    <w:link w:val="876"/>
    <w:uiPriority w:val="0"/>
    <w:qFormat/>
    <w:rPr>
      <w:rFonts w:ascii="宋体" w:hAnsi="Courier New" w:eastAsia="宋体" w:cs="Times New Roman"/>
      <w:szCs w:val="20"/>
    </w:rPr>
  </w:style>
  <w:style w:type="paragraph" w:styleId="853">
    <w:name w:val="Date"/>
    <w:basedOn w:val="844"/>
    <w:next w:val="844"/>
    <w:link w:val="871"/>
    <w:uiPriority w:val="99"/>
    <w:semiHidden/>
    <w:unhideWhenUsed/>
    <w:qFormat/>
    <w:pPr>
      <w:ind w:left="100"/>
    </w:pPr>
  </w:style>
  <w:style w:type="paragraph" w:styleId="854">
    <w:name w:val="Balloon Text"/>
    <w:basedOn w:val="844"/>
    <w:link w:val="873"/>
    <w:uiPriority w:val="99"/>
    <w:semiHidden/>
    <w:unhideWhenUsed/>
    <w:qFormat/>
    <w:rPr>
      <w:sz w:val="18"/>
      <w:szCs w:val="18"/>
    </w:rPr>
  </w:style>
  <w:style w:type="paragraph" w:styleId="855">
    <w:name w:val="Footer"/>
    <w:basedOn w:val="844"/>
    <w:link w:val="866"/>
    <w:uiPriority w:val="99"/>
    <w:unhideWhenUsed/>
    <w:qFormat/>
    <w:pPr>
      <w:jc w:val="left"/>
      <w:tabs>
        <w:tab w:val="center" w:pos="4153" w:leader="none"/>
        <w:tab w:val="right" w:pos="8306" w:leader="none"/>
      </w:tabs>
    </w:pPr>
    <w:rPr>
      <w:sz w:val="18"/>
      <w:szCs w:val="18"/>
    </w:rPr>
  </w:style>
  <w:style w:type="paragraph" w:styleId="856">
    <w:name w:val="Header"/>
    <w:basedOn w:val="844"/>
    <w:link w:val="86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44"/>
    <w:next w:val="844"/>
    <w:uiPriority w:val="39"/>
    <w:unhideWhenUsed/>
    <w:qFormat/>
    <w:pPr>
      <w:jc w:val="center"/>
      <w:spacing w:line="360" w:lineRule="auto"/>
      <w:tabs>
        <w:tab w:val="right" w:pos="9628" w:leader="dot"/>
      </w:tabs>
    </w:pPr>
    <w:rPr>
      <w:sz w:val="32"/>
    </w:rPr>
  </w:style>
  <w:style w:type="paragraph" w:styleId="858">
    <w:name w:val="Body Text First Indent"/>
    <w:uiPriority w:val="0"/>
    <w:qFormat/>
    <w:pPr>
      <w:ind w:firstLine="420"/>
      <w:jc w:val="both"/>
      <w:spacing w:after="120"/>
      <w:widowControl w:val="off"/>
    </w:pPr>
    <w:rPr>
      <w:rFonts w:ascii="Calibri" w:hAnsi="Calibri" w:eastAsia="宋体" w:cs="Times New Roman"/>
      <w:sz w:val="32"/>
      <w:szCs w:val="32"/>
      <w:lang w:val="en-US" w:eastAsia="zh-CN" w:bidi="ar-SA"/>
    </w:rPr>
  </w:style>
  <w:style w:type="table" w:styleId="859">
    <w:name w:val="Table Grid"/>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Strong"/>
    <w:basedOn w:val="848"/>
    <w:uiPriority w:val="22"/>
    <w:qFormat/>
    <w:rPr>
      <w:b/>
    </w:rPr>
  </w:style>
  <w:style w:type="character" w:styleId="861">
    <w:name w:val="Hyperlink"/>
    <w:uiPriority w:val="99"/>
    <w:qFormat/>
    <w:rPr>
      <w:color w:val="0000ff"/>
      <w:u w:val="none"/>
    </w:rPr>
  </w:style>
  <w:style w:type="character" w:styleId="862">
    <w:name w:val="annotation reference"/>
    <w:uiPriority w:val="0"/>
    <w:qFormat/>
    <w:rPr>
      <w:sz w:val="21"/>
      <w:szCs w:val="21"/>
    </w:rPr>
  </w:style>
  <w:style w:type="paragraph" w:styleId="863" w:customStyle="1">
    <w:name w:val="正文首行缩进11"/>
    <w:basedOn w:val="864"/>
    <w:uiPriority w:val="0"/>
    <w:qFormat/>
    <w:pPr>
      <w:ind w:firstLine="200"/>
      <w:spacing w:line="360" w:lineRule="auto"/>
    </w:pPr>
    <w:rPr>
      <w:rFonts w:ascii="仿宋_GB2312" w:hAnsi="Times New Roman" w:eastAsia="仿宋_GB2312"/>
      <w:sz w:val="30"/>
      <w:szCs w:val="30"/>
    </w:rPr>
  </w:style>
  <w:style w:type="paragraph" w:styleId="864" w:customStyle="1">
    <w:name w:val="正文文本11"/>
    <w:basedOn w:val="844"/>
    <w:next w:val="844"/>
    <w:uiPriority w:val="0"/>
    <w:qFormat/>
    <w:rPr>
      <w:rFonts w:ascii="楷体_GB2312" w:hAnsi="Arial" w:eastAsia="楷体_GB2312"/>
      <w:sz w:val="28"/>
      <w:szCs w:val="28"/>
      <w:lang w:eastAsia="en-US"/>
    </w:rPr>
  </w:style>
  <w:style w:type="character" w:styleId="865" w:customStyle="1">
    <w:name w:val="页眉 Char"/>
    <w:basedOn w:val="848"/>
    <w:link w:val="856"/>
    <w:uiPriority w:val="99"/>
    <w:semiHidden/>
    <w:qFormat/>
    <w:rPr>
      <w:sz w:val="18"/>
      <w:szCs w:val="18"/>
    </w:rPr>
  </w:style>
  <w:style w:type="character" w:styleId="866" w:customStyle="1">
    <w:name w:val="页脚 Char"/>
    <w:basedOn w:val="848"/>
    <w:link w:val="855"/>
    <w:uiPriority w:val="99"/>
    <w:qFormat/>
    <w:rPr>
      <w:sz w:val="18"/>
      <w:szCs w:val="18"/>
    </w:rPr>
  </w:style>
  <w:style w:type="character" w:styleId="867" w:customStyle="1">
    <w:name w:val="标题 1 Char"/>
    <w:basedOn w:val="848"/>
    <w:link w:val="845"/>
    <w:uiPriority w:val="9"/>
    <w:qFormat/>
    <w:rPr>
      <w:b/>
      <w:bCs/>
      <w:sz w:val="44"/>
      <w:szCs w:val="44"/>
    </w:rPr>
  </w:style>
  <w:style w:type="character" w:styleId="868" w:customStyle="1">
    <w:name w:val="文档结构图 Char"/>
    <w:basedOn w:val="848"/>
    <w:link w:val="850"/>
    <w:uiPriority w:val="99"/>
    <w:semiHidden/>
    <w:qFormat/>
    <w:rPr>
      <w:rFonts w:ascii="宋体" w:eastAsia="宋体"/>
      <w:sz w:val="18"/>
      <w:szCs w:val="18"/>
    </w:rPr>
  </w:style>
  <w:style w:type="character" w:styleId="869" w:customStyle="1">
    <w:name w:val="标题 2 Char"/>
    <w:basedOn w:val="848"/>
    <w:link w:val="846"/>
    <w:uiPriority w:val="9"/>
    <w:qFormat/>
    <w:rPr>
      <w:rFonts w:asciiTheme="majorHAnsi" w:hAnsiTheme="majorHAnsi" w:eastAsiaTheme="majorEastAsia" w:cstheme="majorBidi"/>
      <w:b/>
      <w:bCs/>
      <w:sz w:val="32"/>
      <w:szCs w:val="32"/>
    </w:rPr>
  </w:style>
  <w:style w:type="character" w:styleId="870" w:customStyle="1">
    <w:name w:val="标题 3 Char"/>
    <w:basedOn w:val="848"/>
    <w:link w:val="847"/>
    <w:uiPriority w:val="9"/>
    <w:qFormat/>
    <w:rPr>
      <w:b/>
      <w:bCs/>
      <w:sz w:val="32"/>
      <w:szCs w:val="32"/>
    </w:rPr>
  </w:style>
  <w:style w:type="character" w:styleId="871" w:customStyle="1">
    <w:name w:val="日期 Char"/>
    <w:basedOn w:val="848"/>
    <w:link w:val="853"/>
    <w:uiPriority w:val="99"/>
    <w:semiHidden/>
    <w:qFormat/>
  </w:style>
  <w:style w:type="character" w:styleId="872" w:customStyle="1">
    <w:name w:val="批注文字 Char"/>
    <w:basedOn w:val="848"/>
    <w:link w:val="851"/>
    <w:uiPriority w:val="0"/>
    <w:qFormat/>
    <w:rPr>
      <w:rFonts w:ascii="Times New Roman" w:hAnsi="Times New Roman" w:eastAsia="宋体" w:cs="Times New Roman"/>
      <w:szCs w:val="24"/>
    </w:rPr>
  </w:style>
  <w:style w:type="character" w:styleId="873" w:customStyle="1">
    <w:name w:val="批注框文本 Char"/>
    <w:basedOn w:val="848"/>
    <w:link w:val="854"/>
    <w:uiPriority w:val="99"/>
    <w:semiHidden/>
    <w:qFormat/>
    <w:rPr>
      <w:sz w:val="18"/>
      <w:szCs w:val="18"/>
    </w:rPr>
  </w:style>
  <w:style w:type="paragraph" w:styleId="874" w:customStyle="1">
    <w:name w:val="Default"/>
    <w:link w:val="875"/>
    <w:uiPriority w:val="99"/>
    <w:qFormat/>
    <w:pPr>
      <w:widowControl w:val="off"/>
    </w:pPr>
    <w:rPr>
      <w:rFonts w:ascii="MS Mincho" w:hAnsi="Calibri" w:eastAsia="宋体" w:cs="Times New Roman"/>
      <w:color w:val="000000"/>
      <w:sz w:val="21"/>
      <w:szCs w:val="24"/>
      <w:lang w:val="en-US" w:eastAsia="zh-CN" w:bidi="ar-SA"/>
    </w:rPr>
  </w:style>
  <w:style w:type="character" w:styleId="875" w:customStyle="1">
    <w:name w:val="Default Char"/>
    <w:link w:val="874"/>
    <w:uiPriority w:val="99"/>
    <w:qFormat/>
    <w:rPr>
      <w:rFonts w:ascii="MS Mincho" w:hAnsi="Calibri" w:eastAsia="宋体" w:cs="Times New Roman"/>
      <w:color w:val="000000"/>
      <w:szCs w:val="24"/>
    </w:rPr>
  </w:style>
  <w:style w:type="character" w:styleId="876" w:customStyle="1">
    <w:name w:val="纯文本 Char"/>
    <w:basedOn w:val="848"/>
    <w:link w:val="852"/>
    <w:uiPriority w:val="0"/>
    <w:qFormat/>
    <w:rPr>
      <w:rFonts w:ascii="宋体" w:hAnsi="Courier New" w:eastAsia="宋体" w:cs="Times New Roman"/>
      <w:szCs w:val="20"/>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68</cp:revision>
  <dcterms:created xsi:type="dcterms:W3CDTF">2024-01-04T03:50:00Z</dcterms:created>
  <dcterms:modified xsi:type="dcterms:W3CDTF">2026-08-14T00:37:49Z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2052-12.1.0.28043</vt:lpwstr>
  </property>
  <property fmtid="{D5CDD505-2E9C-101B-9397-08002B2CF9AE}" pid="4" name="ICV">
    <vt:lpwstr>F5E98B6566E4475E9A699886F995F070_13</vt:lpwstr>
  </property>
</Properties>
</file>